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1.xml" ContentType="application/vnd.openxmlformats-officedocument.drawingml.chart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rPr/>
      </w:pPr>
      <w:r>
        <w:rPr>
          <w:rFonts w:eastAsia="Calibri" w:cs="Calibri"/>
          <w:b/>
          <w:bCs/>
          <w:color w:val="1F2733"/>
          <w:sz w:val="44"/>
          <w:szCs w:val="44"/>
        </w:rPr>
        <w:t>Q3 FY2026 Business Review</w:t>
      </w:r>
    </w:p>
    <w:p>
      <w:pPr>
        <w:pStyle w:val="Normal"/>
        <w:pBdr>
          <w:bottom w:val="single" w:sz="4" w:space="0" w:color="BFC6CE"/>
        </w:pBdr>
        <w:spacing w:before="0" w:after="200"/>
        <w:rPr/>
      </w:pPr>
      <w:r>
        <w:rPr>
          <w:rFonts w:eastAsia="Calibri" w:cs="Calibri"/>
          <w:color w:val="6B7280"/>
          <w:sz w:val="17"/>
          <w:szCs w:val="17"/>
        </w:rPr>
        <w:t>Finance &amp; Operations  ·  Prepared 27 August 2026</w:t>
      </w:r>
    </w:p>
    <w:p>
      <w:pPr>
        <w:pStyle w:val="H2"/>
        <w:rPr/>
      </w:pPr>
      <w:r>
        <w:rPr/>
        <w:t>Executive summary</w:t>
      </w:r>
    </w:p>
    <w:p>
      <w:pPr>
        <w:pStyle w:val="Normal"/>
        <w:spacing w:lineRule="exact" w:line="300" w:before="0" w:after="120"/>
        <w:rPr/>
      </w:pPr>
      <w:r>
        <w:rPr>
          <w:rFonts w:eastAsia="Calibri" w:cs="Calibri"/>
          <w:color w:val="1F2733"/>
          <w:sz w:val="21"/>
          <w:szCs w:val="21"/>
        </w:rPr>
        <w:t>APAC enterprise renewals delivered 62% of new bookings in Q3, lifting total revenue 14.1% quarter over quarter. Operating margin held at 22% despite higher infrastructure spend.</w:t>
      </w:r>
      <w:r>
        <w:rPr>
          <w:rStyle w:val="FootnoteReference"/>
        </w:rPr>
        <w:footnoteReference w:id="2"/>
      </w:r>
    </w:p>
    <w:p>
      <w:pPr>
        <w:pStyle w:val="ListParagraph"/>
        <w:numPr>
          <w:ilvl w:val="0"/>
          <w:numId w:val="3"/>
        </w:numPr>
        <w:spacing w:lineRule="exact" w:line="288" w:before="0" w:after="60"/>
        <w:rPr/>
      </w:pPr>
      <w:r>
        <w:rPr>
          <w:rFonts w:eastAsia="Calibri" w:cs="Calibri"/>
          <w:color w:val="1F2733"/>
          <w:sz w:val="21"/>
          <w:szCs w:val="21"/>
        </w:rPr>
        <w:t>Gross retention on enterprise accounts reached 94%, up from 91% in Q2.</w:t>
      </w:r>
    </w:p>
    <w:p>
      <w:pPr>
        <w:pStyle w:val="ListParagraph"/>
        <w:numPr>
          <w:ilvl w:val="0"/>
          <w:numId w:val="1"/>
        </w:numPr>
        <w:spacing w:lineRule="exact" w:line="288" w:before="0" w:after="60"/>
        <w:rPr/>
      </w:pPr>
      <w:r>
        <w:rPr>
          <w:rFonts w:eastAsia="Calibri" w:cs="Calibri"/>
          <w:color w:val="1F2733"/>
          <w:sz w:val="21"/>
          <w:szCs w:val="21"/>
        </w:rPr>
        <w:t>Two multi-year OEM contracts were signed in APAC — both recognised from September.</w:t>
      </w:r>
    </w:p>
    <w:p>
      <w:pPr>
        <w:pStyle w:val="ListParagraph"/>
        <w:numPr>
          <w:ilvl w:val="0"/>
          <w:numId w:val="1"/>
        </w:numPr>
        <w:spacing w:lineRule="exact" w:line="288" w:before="0" w:after="60"/>
        <w:rPr/>
      </w:pPr>
      <w:r>
        <w:rPr>
          <w:rFonts w:eastAsia="Calibri" w:cs="Calibri"/>
          <w:color w:val="1F2733"/>
          <w:sz w:val="21"/>
          <w:szCs w:val="21"/>
        </w:rPr>
        <w:t>Infrastructure spend rose 8% as the second region completed migration.</w:t>
      </w:r>
    </w:p>
    <w:p>
      <w:pPr>
        <w:pStyle w:val="H2"/>
        <w:rPr/>
      </w:pPr>
      <w:r>
        <w:rPr/>
        <w:t>Revenue by segment</w:t>
      </w:r>
    </w:p>
    <w:tbl>
      <w:tblPr>
        <w:tblW w:w="9026" w:type="dxa"/>
        <w:jc w:val="left"/>
        <w:tblInd w:w="0" w:type="dxa"/>
        <w:tblLayout w:type="fixed"/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400"/>
        <w:gridCol w:w="1600"/>
        <w:gridCol w:w="1599"/>
        <w:gridCol w:w="1601"/>
        <w:gridCol w:w="1826"/>
      </w:tblGrid>
      <w:tr>
        <w:trPr>
          <w:tblHeader w:val="true"/>
        </w:trPr>
        <w:tc>
          <w:tcPr>
            <w:tcW w:w="2400" w:type="dxa"/>
            <w:vMerge w:val="restart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shd w:color="auto" w:fill="EEF1F3" w:val="clear"/>
            <w:vAlign w:val="center"/>
          </w:tcPr>
          <w:p>
            <w:pPr>
              <w:pStyle w:val="Normal"/>
              <w:spacing w:before="0" w:after="0"/>
              <w:jc w:val="left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Segment</w:t>
            </w:r>
          </w:p>
        </w:tc>
        <w:tc>
          <w:tcPr>
            <w:tcW w:w="4800" w:type="dxa"/>
            <w:gridSpan w:val="3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shd w:color="auto" w:fill="EEF1F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FY2026 revenue (USD thousands)</w:t>
            </w:r>
          </w:p>
        </w:tc>
        <w:tc>
          <w:tcPr>
            <w:tcW w:w="1826" w:type="dxa"/>
            <w:vMerge w:val="restart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shd w:color="auto" w:fill="EEF1F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QoQ</w:t>
            </w:r>
          </w:p>
        </w:tc>
      </w:tr>
      <w:tr>
        <w:trPr>
          <w:tblHeader w:val="true"/>
        </w:trPr>
        <w:tc>
          <w:tcPr>
            <w:tcW w:w="2400" w:type="dxa"/>
            <w:vMerge w:val="continue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00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shd w:color="auto" w:fill="EEF1F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Q1</w:t>
            </w:r>
          </w:p>
        </w:tc>
        <w:tc>
          <w:tcPr>
            <w:tcW w:w="1599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shd w:color="auto" w:fill="EEF1F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Q2</w:t>
            </w:r>
          </w:p>
        </w:tc>
        <w:tc>
          <w:tcPr>
            <w:tcW w:w="1601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shd w:color="auto" w:fill="EEF1F3" w:val="clear"/>
            <w:vAlign w:val="cente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Q3</w:t>
            </w:r>
          </w:p>
        </w:tc>
        <w:tc>
          <w:tcPr>
            <w:tcW w:w="1826" w:type="dxa"/>
            <w:vMerge w:val="continue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400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lef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Enterprise</w:t>
            </w:r>
          </w:p>
        </w:tc>
        <w:tc>
          <w:tcPr>
            <w:tcW w:w="1600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3,860</w:t>
            </w:r>
          </w:p>
        </w:tc>
        <w:tc>
          <w:tcPr>
            <w:tcW w:w="1599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4,120</w:t>
            </w:r>
          </w:p>
        </w:tc>
        <w:tc>
          <w:tcPr>
            <w:tcW w:w="1601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4,880</w:t>
            </w:r>
          </w:p>
        </w:tc>
        <w:tc>
          <w:tcPr>
            <w:tcW w:w="1826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+18.4%</w:t>
            </w:r>
          </w:p>
        </w:tc>
      </w:tr>
      <w:tr>
        <w:trPr/>
        <w:tc>
          <w:tcPr>
            <w:tcW w:w="2400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lef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SMB</w:t>
            </w:r>
          </w:p>
        </w:tc>
        <w:tc>
          <w:tcPr>
            <w:tcW w:w="1600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1,780</w:t>
            </w:r>
          </w:p>
        </w:tc>
        <w:tc>
          <w:tcPr>
            <w:tcW w:w="1599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1,940</w:t>
            </w:r>
          </w:p>
        </w:tc>
        <w:tc>
          <w:tcPr>
            <w:tcW w:w="1601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2,010</w:t>
            </w:r>
          </w:p>
        </w:tc>
        <w:tc>
          <w:tcPr>
            <w:tcW w:w="1826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+3.6%</w:t>
            </w:r>
          </w:p>
        </w:tc>
      </w:tr>
      <w:tr>
        <w:trPr/>
        <w:tc>
          <w:tcPr>
            <w:tcW w:w="2400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lef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OEM</w:t>
            </w:r>
          </w:p>
        </w:tc>
        <w:tc>
          <w:tcPr>
            <w:tcW w:w="1600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690</w:t>
            </w:r>
          </w:p>
        </w:tc>
        <w:tc>
          <w:tcPr>
            <w:tcW w:w="1599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760</w:t>
            </w:r>
          </w:p>
        </w:tc>
        <w:tc>
          <w:tcPr>
            <w:tcW w:w="1601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905</w:t>
            </w:r>
          </w:p>
        </w:tc>
        <w:tc>
          <w:tcPr>
            <w:tcW w:w="1826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+19.1%</w:t>
            </w:r>
          </w:p>
        </w:tc>
      </w:tr>
      <w:tr>
        <w:trPr/>
        <w:tc>
          <w:tcPr>
            <w:tcW w:w="2400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lef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Services</w:t>
            </w:r>
          </w:p>
        </w:tc>
        <w:tc>
          <w:tcPr>
            <w:tcW w:w="1600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420</w:t>
            </w:r>
          </w:p>
        </w:tc>
        <w:tc>
          <w:tcPr>
            <w:tcW w:w="1599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455</w:t>
            </w:r>
          </w:p>
        </w:tc>
        <w:tc>
          <w:tcPr>
            <w:tcW w:w="1601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505</w:t>
            </w:r>
          </w:p>
        </w:tc>
        <w:tc>
          <w:tcPr>
            <w:tcW w:w="1826" w:type="dxa"/>
            <w:tcBorders>
              <w:top w:val="single" w:sz="4" w:space="0" w:color="BFC6CE"/>
              <w:left w:val="single" w:sz="4" w:space="0" w:color="BFC6CE"/>
              <w:bottom w:val="single" w:sz="4" w:space="0" w:color="BFC6CE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 w:val="false"/>
                <w:bCs w:val="false"/>
                <w:color w:val="1F2733"/>
                <w:sz w:val="19"/>
                <w:szCs w:val="19"/>
              </w:rPr>
              <w:t>+11.0%</w:t>
            </w:r>
          </w:p>
        </w:tc>
      </w:tr>
      <w:tr>
        <w:trPr/>
        <w:tc>
          <w:tcPr>
            <w:tcW w:w="2400" w:type="dxa"/>
            <w:tcBorders>
              <w:top w:val="single" w:sz="12" w:space="0" w:color="1F2733"/>
              <w:left w:val="single" w:sz="4" w:space="0" w:color="BFC6CE"/>
              <w:bottom w:val="single" w:sz="12" w:space="0" w:color="1F2733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left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Total</w:t>
            </w:r>
          </w:p>
        </w:tc>
        <w:tc>
          <w:tcPr>
            <w:tcW w:w="1600" w:type="dxa"/>
            <w:tcBorders>
              <w:top w:val="single" w:sz="12" w:space="0" w:color="1F2733"/>
              <w:left w:val="single" w:sz="4" w:space="0" w:color="BFC6CE"/>
              <w:bottom w:val="single" w:sz="12" w:space="0" w:color="1F2733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6,750</w:t>
            </w:r>
          </w:p>
        </w:tc>
        <w:tc>
          <w:tcPr>
            <w:tcW w:w="1599" w:type="dxa"/>
            <w:tcBorders>
              <w:top w:val="single" w:sz="12" w:space="0" w:color="1F2733"/>
              <w:left w:val="single" w:sz="4" w:space="0" w:color="BFC6CE"/>
              <w:bottom w:val="single" w:sz="12" w:space="0" w:color="1F2733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7,275</w:t>
            </w:r>
          </w:p>
        </w:tc>
        <w:tc>
          <w:tcPr>
            <w:tcW w:w="1601" w:type="dxa"/>
            <w:tcBorders>
              <w:top w:val="single" w:sz="12" w:space="0" w:color="1F2733"/>
              <w:left w:val="single" w:sz="4" w:space="0" w:color="BFC6CE"/>
              <w:bottom w:val="single" w:sz="12" w:space="0" w:color="1F2733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8,300</w:t>
            </w:r>
          </w:p>
        </w:tc>
        <w:tc>
          <w:tcPr>
            <w:tcW w:w="1826" w:type="dxa"/>
            <w:tcBorders>
              <w:top w:val="single" w:sz="12" w:space="0" w:color="1F2733"/>
              <w:left w:val="single" w:sz="4" w:space="0" w:color="BFC6CE"/>
              <w:bottom w:val="single" w:sz="12" w:space="0" w:color="1F2733"/>
              <w:right w:val="single" w:sz="4" w:space="0" w:color="BFC6CE"/>
            </w:tcBorders>
            <w:vAlign w:val="center"/>
          </w:tcPr>
          <w:p>
            <w:pPr>
              <w:pStyle w:val="Normal"/>
              <w:spacing w:before="0" w:after="0"/>
              <w:jc w:val="right"/>
              <w:rPr/>
            </w:pPr>
            <w:r>
              <w:rPr>
                <w:rFonts w:eastAsia="Calibri" w:cs="Calibri"/>
                <w:b/>
                <w:bCs/>
                <w:color w:val="1F2733"/>
                <w:sz w:val="19"/>
                <w:szCs w:val="19"/>
              </w:rPr>
              <w:t>+14.1%</w:t>
            </w:r>
          </w:p>
        </w:tc>
      </w:tr>
    </w:tbl>
    <w:p>
      <w:pPr>
        <w:pStyle w:val="Normal"/>
        <w:spacing w:before="200" w:after="0"/>
        <w:rPr/>
      </w:pPr>
      <w:r>
        <w:rPr>
          <w:color w:val="FFFFFF"/>
          <w:sz w:val="2"/>
          <w:szCs w:val="2"/>
        </w:rPr>
        <w:drawing>
          <wp:inline distT="0" distB="0" distL="0" distR="0">
            <wp:extent cx="5471795" cy="2663825"/>
            <wp:effectExtent l="0" t="0" r="0" b="0"/>
            <wp:docPr id="1" name="Object1" descr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"/>
              </a:graphicData>
            </a:graphic>
          </wp:inline>
        </w:drawing>
      </w:r>
    </w:p>
    <w:p>
      <w:pPr>
        <w:pStyle w:val="H2"/>
        <w:rPr/>
      </w:pPr>
      <w:r>
        <w:rPr/>
        <w:t>Outlook</w:t>
      </w:r>
    </w:p>
    <w:p>
      <w:pPr>
        <w:pStyle w:val="Normal"/>
        <w:spacing w:lineRule="exact" w:line="300" w:before="0" w:after="120"/>
        <w:rPr/>
      </w:pPr>
      <w:r>
        <w:rPr>
          <w:rFonts w:eastAsia="Calibri" w:cs="Calibri"/>
          <w:color w:val="1F2733"/>
          <w:sz w:val="21"/>
          <w:szCs w:val="21"/>
        </w:rPr>
        <w:t>Q4 pipeline coverage stands at 2.4x, weighted toward two OEM renewals closing in November. Infrastructure spend is expected to flatten as the second region completes migration.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Fmt w:val="decimal"/>
      </w:footnotePr>
      <w:type w:val="nextPage"/>
      <w:pgSz w:w="11906" w:h="16838"/>
      <w:pgMar w:left="1440" w:right="1440" w:gutter="0" w:header="708" w:top="1134" w:footer="708" w:bottom="1134"/>
      <w:pgNumType w:fmt="decimal"/>
      <w:formProt w:val="false"/>
      <w:textDirection w:val="lrTb"/>
      <w:docGrid w:type="default" w:linePitch="36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9026" w:leader="none"/>
      </w:tabs>
      <w:rPr/>
    </w:pPr>
    <w:r>
      <w:rPr>
        <w:rFonts w:eastAsia="Calibri" w:cs="Calibri"/>
        <w:color w:val="6B7280"/>
        <w:sz w:val="15"/>
        <w:szCs w:val="15"/>
      </w:rPr>
      <w:t>Sample document prepared for rendering tests</w:t>
    </w:r>
    <w:r>
      <w:rPr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right" w:pos="9026" w:leader="none"/>
      </w:tabs>
      <w:rPr/>
    </w:pPr>
    <w:r>
      <w:rPr>
        <w:rFonts w:eastAsia="Calibri" w:cs="Calibri"/>
        <w:color w:val="6B7280"/>
        <w:sz w:val="15"/>
        <w:szCs w:val="15"/>
      </w:rPr>
      <w:t>Sample document prepared for rendering tests</w:t>
    </w:r>
    <w:r>
      <w:rPr/>
      <w:tab/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rPr/>
      </w:pPr>
      <w:r>
        <w:rPr>
          <w:rStyle w:val="FootnoteCharacters"/>
        </w:rPr>
        <w:footnoteRef/>
      </w:r>
      <w:r>
        <w:rPr>
          <w:rFonts w:eastAsia="Calibri" w:cs="Calibri"/>
          <w:sz w:val="16"/>
          <w:szCs w:val="16"/>
        </w:rPr>
        <w:t>Excludes one-time migration credits recognised in July 2026.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4" w:space="0" w:color="BFC6CE"/>
      </w:pBdr>
      <w:tabs>
        <w:tab w:val="clear" w:pos="720"/>
        <w:tab w:val="right" w:pos="9026" w:leader="none"/>
      </w:tabs>
      <w:spacing w:before="0" w:after="240"/>
      <w:rPr/>
    </w:pPr>
    <w:r>
      <w:rPr>
        <w:rFonts w:eastAsia="Calibri" w:cs="Calibri"/>
        <w:b/>
        <w:bCs/>
        <w:color w:val="1F2733"/>
        <w:sz w:val="18"/>
        <w:szCs w:val="18"/>
      </w:rPr>
      <w:t>Northwind Trading Co.</w:t>
    </w:r>
    <w:r>
      <w:rPr/>
      <w:tab/>
    </w:r>
    <w:r>
      <w:rPr>
        <w:rFonts w:eastAsia="Calibri" w:cs="Calibri"/>
        <w:color w:val="6B7280"/>
        <w:sz w:val="18"/>
        <w:szCs w:val="18"/>
      </w:rPr>
      <w:t>Q3 FY2026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4" w:space="0" w:color="BFC6CE"/>
      </w:pBdr>
      <w:tabs>
        <w:tab w:val="clear" w:pos="720"/>
        <w:tab w:val="right" w:pos="9026" w:leader="none"/>
      </w:tabs>
      <w:spacing w:before="0" w:after="240"/>
      <w:rPr/>
    </w:pPr>
    <w:r>
      <w:rPr>
        <w:rFonts w:eastAsia="Calibri" w:cs="Calibri"/>
        <w:b/>
        <w:bCs/>
        <w:color w:val="1F2733"/>
        <w:sz w:val="18"/>
        <w:szCs w:val="18"/>
      </w:rPr>
      <w:t>Northwind Trading Co.</w:t>
    </w:r>
    <w:r>
      <w:rPr/>
      <w:tab/>
    </w:r>
    <w:r>
      <w:rPr>
        <w:rFonts w:eastAsia="Calibri" w:cs="Calibri"/>
        <w:color w:val="6B7280"/>
        <w:sz w:val="18"/>
        <w:szCs w:val="18"/>
      </w:rPr>
      <w:t>Q3 FY2026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1F2733"/>
        <w:sz w:val="21"/>
        <w:szCs w:val="21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F2733"/>
      <w:kern w:val="0"/>
      <w:sz w:val="21"/>
      <w:szCs w:val="21"/>
      <w:lang w:val="en-US" w:eastAsia="zh-CN" w:bidi="hi-IN"/>
    </w:rPr>
  </w:style>
  <w:style w:type="paragraph" w:styleId="Heading1">
    <w:name w:val="Heading 1"/>
    <w:basedOn w:val="Heading"/>
    <w:qFormat/>
    <w:pPr/>
    <w:rPr>
      <w:color w:val="2E74B5"/>
      <w:sz w:val="32"/>
      <w:szCs w:val="32"/>
    </w:rPr>
  </w:style>
  <w:style w:type="paragraph" w:styleId="Heading2">
    <w:name w:val="Heading 2"/>
    <w:basedOn w:val="Heading"/>
    <w:qFormat/>
    <w:pPr/>
    <w:rPr>
      <w:color w:val="2E74B5"/>
      <w:sz w:val="26"/>
      <w:szCs w:val="26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Calibri" w:hAnsi="Calibri" w:eastAsia="Calibri" w:cs="Calibri"/>
      <w:b/>
      <w:bCs/>
      <w:color w:val="1F2733"/>
      <w:kern w:val="0"/>
      <w:sz w:val="21"/>
      <w:szCs w:val="21"/>
      <w:lang w:val="en-US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F2733"/>
      <w:kern w:val="0"/>
      <w:sz w:val="21"/>
      <w:szCs w:val="21"/>
      <w:lang w:val="en-US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H2">
    <w:name w:val="H2"/>
    <w:qFormat/>
    <w:pPr>
      <w:widowControl/>
      <w:bidi w:val="0"/>
      <w:spacing w:before="320" w:after="120"/>
      <w:jc w:val="left"/>
    </w:pPr>
    <w:rPr>
      <w:rFonts w:ascii="Calibri" w:hAnsi="Calibri" w:eastAsia="Calibri" w:cs="Calibri"/>
      <w:b/>
      <w:bCs/>
      <w:color w:val="1F2733"/>
      <w:kern w:val="0"/>
      <w:sz w:val="24"/>
      <w:szCs w:val="24"/>
      <w:lang w:val="en-US" w:eastAsia="zh-CN" w:bidi="hi-I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hart" Target="charts/chart1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roundedCorners val="0"/>
  <c:chart>
    <c:title>
      <c:tx>
        <c:rich>
          <a:bodyPr rot="0"/>
          <a:lstStyle/>
          <a:p>
            <a:pPr>
              <a:defRPr b="1" sz="1100" spc="-1" strike="noStrike">
                <a:latin typeface="Arial"/>
              </a:defRPr>
            </a:pPr>
            <a:r>
              <a:rPr b="1" sz="1100" spc="-1" strike="noStrike">
                <a:latin typeface="Arial"/>
              </a:rPr>
              <a:t>Revenue by segment, FY2026</a:t>
            </a:r>
          </a:p>
        </c:rich>
      </c:tx>
      <c:overlay val="0"/>
      <c:spPr>
        <a:noFill/>
        <a:ln w="0">
          <a:noFill/>
        </a:ln>
      </c:spPr>
    </c:title>
    <c:autoTitleDeleted val="0"/>
    <c:plotArea>
      <c:barChart>
        <c:barDir val="col"/>
        <c:grouping val="clustered"/>
        <c:varyColors val="0"/>
        <c:ser>
          <c:idx val="0"/>
          <c:order val="0"/>
          <c:tx>
            <c:strRef>
              <c:f>label 0</c:f>
              <c:strCache>
                <c:ptCount val="1"/>
                <c:pt idx="0">
                  <c:v>Q1</c:v>
                </c:pt>
              </c:strCache>
            </c:strRef>
          </c:tx>
          <c:spPr>
            <a:solidFill>
              <a:srgbClr val="c9d8e6"/>
            </a:solidFill>
            <a:ln w="0">
              <a:noFill/>
            </a:ln>
          </c:spPr>
          <c:invertIfNegative val="0"/>
          <c:dLbls>
            <c:txPr>
              <a:bodyPr wrap="none"/>
              <a:lstStyle/>
              <a:p>
                <a:pPr>
                  <a:defRPr b="0" sz="1000" spc="-1" strike="noStrike">
                    <a:latin typeface="Arial"/>
                  </a:defRPr>
                </a:pPr>
              </a:p>
            </c:txPr>
            <c:showLegendKey val="0"/>
            <c:showVal val="0"/>
            <c:showCatName val="0"/>
            <c:showSerName val="0"/>
            <c:showPercent val="0"/>
            <c:separator> </c:separator>
            <c:showLeaderLines val="1"/>
          </c:dLbls>
          <c:cat>
            <c:strRef>
              <c:f>categories</c:f>
              <c:strCache>
                <c:ptCount val="4"/>
                <c:pt idx="0">
                  <c:v>Enterprise</c:v>
                </c:pt>
                <c:pt idx="1">
                  <c:v>SMB</c:v>
                </c:pt>
                <c:pt idx="2">
                  <c:v>OEM</c:v>
                </c:pt>
                <c:pt idx="3">
                  <c:v>Services</c:v>
                </c:pt>
              </c:strCache>
            </c:strRef>
          </c:cat>
          <c:val>
            <c:numRef>
              <c:f>0</c:f>
              <c:numCache>
                <c:formatCode>General</c:formatCode>
                <c:ptCount val="4"/>
                <c:pt idx="0">
                  <c:v>3860</c:v>
                </c:pt>
                <c:pt idx="1">
                  <c:v>1780</c:v>
                </c:pt>
                <c:pt idx="2">
                  <c:v>690</c:v>
                </c:pt>
                <c:pt idx="3">
                  <c:v>420</c:v>
                </c:pt>
              </c:numCache>
            </c:numRef>
          </c:val>
        </c:ser>
        <c:ser>
          <c:idx val="1"/>
          <c:order val="1"/>
          <c:tx>
            <c:strRef>
              <c:f>label 1</c:f>
              <c:strCache>
                <c:ptCount val="1"/>
                <c:pt idx="0">
                  <c:v>Q2</c:v>
                </c:pt>
              </c:strCache>
            </c:strRef>
          </c:tx>
          <c:spPr>
            <a:solidFill>
              <a:srgbClr val="6e9cc4"/>
            </a:solidFill>
            <a:ln w="0">
              <a:noFill/>
            </a:ln>
          </c:spPr>
          <c:invertIfNegative val="0"/>
          <c:dLbls>
            <c:txPr>
              <a:bodyPr wrap="none"/>
              <a:lstStyle/>
              <a:p>
                <a:pPr>
                  <a:defRPr b="0" sz="1000" spc="-1" strike="noStrike">
                    <a:latin typeface="Arial"/>
                  </a:defRPr>
                </a:pPr>
              </a:p>
            </c:txPr>
            <c:showLegendKey val="0"/>
            <c:showVal val="0"/>
            <c:showCatName val="0"/>
            <c:showSerName val="0"/>
            <c:showPercent val="0"/>
            <c:separator> </c:separator>
            <c:showLeaderLines val="1"/>
          </c:dLbls>
          <c:cat>
            <c:strRef>
              <c:f>categories</c:f>
              <c:strCache>
                <c:ptCount val="4"/>
                <c:pt idx="0">
                  <c:v>Enterprise</c:v>
                </c:pt>
                <c:pt idx="1">
                  <c:v>SMB</c:v>
                </c:pt>
                <c:pt idx="2">
                  <c:v>OEM</c:v>
                </c:pt>
                <c:pt idx="3">
                  <c:v>Services</c:v>
                </c:pt>
              </c:strCache>
            </c:strRef>
          </c:cat>
          <c:val>
            <c:numRef>
              <c:f>1</c:f>
              <c:numCache>
                <c:formatCode>General</c:formatCode>
                <c:ptCount val="4"/>
                <c:pt idx="0">
                  <c:v>4120</c:v>
                </c:pt>
                <c:pt idx="1">
                  <c:v>1940</c:v>
                </c:pt>
                <c:pt idx="2">
                  <c:v>760</c:v>
                </c:pt>
                <c:pt idx="3">
                  <c:v>455</c:v>
                </c:pt>
              </c:numCache>
            </c:numRef>
          </c:val>
        </c:ser>
        <c:ser>
          <c:idx val="2"/>
          <c:order val="2"/>
          <c:tx>
            <c:strRef>
              <c:f>label 2</c:f>
              <c:strCache>
                <c:ptCount val="1"/>
                <c:pt idx="0">
                  <c:v>Q3</c:v>
                </c:pt>
              </c:strCache>
            </c:strRef>
          </c:tx>
          <c:spPr>
            <a:solidFill>
              <a:srgbClr val="1f4e79"/>
            </a:solidFill>
            <a:ln w="0">
              <a:noFill/>
            </a:ln>
          </c:spPr>
          <c:invertIfNegative val="0"/>
          <c:dLbls>
            <c:txPr>
              <a:bodyPr wrap="none"/>
              <a:lstStyle/>
              <a:p>
                <a:pPr>
                  <a:defRPr b="0" sz="1000" spc="-1" strike="noStrike">
                    <a:latin typeface="Arial"/>
                  </a:defRPr>
                </a:pPr>
              </a:p>
            </c:txPr>
            <c:showLegendKey val="0"/>
            <c:showVal val="0"/>
            <c:showCatName val="0"/>
            <c:showSerName val="0"/>
            <c:showPercent val="0"/>
            <c:separator> </c:separator>
            <c:showLeaderLines val="1"/>
          </c:dLbls>
          <c:cat>
            <c:strRef>
              <c:f>categories</c:f>
              <c:strCache>
                <c:ptCount val="4"/>
                <c:pt idx="0">
                  <c:v>Enterprise</c:v>
                </c:pt>
                <c:pt idx="1">
                  <c:v>SMB</c:v>
                </c:pt>
                <c:pt idx="2">
                  <c:v>OEM</c:v>
                </c:pt>
                <c:pt idx="3">
                  <c:v>Services</c:v>
                </c:pt>
              </c:strCache>
            </c:strRef>
          </c:cat>
          <c:val>
            <c:numRef>
              <c:f>2</c:f>
              <c:numCache>
                <c:formatCode>General</c:formatCode>
                <c:ptCount val="4"/>
                <c:pt idx="0">
                  <c:v>4880</c:v>
                </c:pt>
                <c:pt idx="1">
                  <c:v>2010</c:v>
                </c:pt>
                <c:pt idx="2">
                  <c:v>905</c:v>
                </c:pt>
                <c:pt idx="3">
                  <c:v>505</c:v>
                </c:pt>
              </c:numCache>
            </c:numRef>
          </c:val>
        </c:ser>
        <c:gapWidth val="100"/>
        <c:overlap val="0"/>
        <c:axId val="26052652"/>
        <c:axId val="72235877"/>
      </c:barChart>
      <c:catAx>
        <c:axId val="26052652"/>
        <c:scaling>
          <c:orientation val="minMax"/>
        </c:scaling>
        <c:delete val="0"/>
        <c:axPos val="b"/>
        <c:numFmt formatCode="[$-409]mm/dd/yyyy" sourceLinked="1"/>
        <c:majorTickMark val="out"/>
        <c:minorTickMark val="none"/>
        <c:tickLblPos val="nextTo"/>
        <c:spPr>
          <a:ln w="0">
            <a:solidFill>
              <a:srgbClr val="b3b3b3"/>
            </a:solidFill>
          </a:ln>
        </c:spPr>
        <c:txPr>
          <a:bodyPr/>
          <a:lstStyle/>
          <a:p>
            <a:pPr>
              <a:defRPr b="0" sz="900" spc="-1" strike="noStrike">
                <a:latin typeface="Arial"/>
              </a:defRPr>
            </a:pPr>
          </a:p>
        </c:txPr>
        <c:crossAx val="72235877"/>
        <c:crosses val="autoZero"/>
        <c:auto val="1"/>
        <c:lblAlgn val="ctr"/>
        <c:lblOffset val="100"/>
        <c:noMultiLvlLbl val="0"/>
      </c:catAx>
      <c:valAx>
        <c:axId val="72235877"/>
        <c:scaling>
          <c:orientation val="minMax"/>
        </c:scaling>
        <c:delete val="0"/>
        <c:axPos val="l"/>
        <c:majorGridlines>
          <c:spPr>
            <a:ln w="0">
              <a:solidFill>
                <a:srgbClr val="b3b3b3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spPr>
          <a:ln w="0">
            <a:solidFill>
              <a:srgbClr val="b3b3b3"/>
            </a:solidFill>
          </a:ln>
        </c:spPr>
        <c:txPr>
          <a:bodyPr/>
          <a:lstStyle/>
          <a:p>
            <a:pPr>
              <a:defRPr b="0" sz="900" spc="-1" strike="noStrike">
                <a:latin typeface="Arial"/>
              </a:defRPr>
            </a:pPr>
          </a:p>
        </c:txPr>
        <c:crossAx val="26052652"/>
        <c:crosses val="autoZero"/>
        <c:crossBetween val="between"/>
      </c:valAx>
      <c:spPr>
        <a:noFill/>
        <a:ln w="0">
          <a:noFill/>
        </a:ln>
      </c:spPr>
    </c:plotArea>
    <c:legend>
      <c:legendPos val="r"/>
      <c:overlay val="0"/>
      <c:spPr>
        <a:noFill/>
        <a:ln w="0">
          <a:noFill/>
        </a:ln>
      </c:spPr>
      <c:txPr>
        <a:bodyPr/>
        <a:lstStyle/>
        <a:p>
          <a:pPr>
            <a:defRPr b="0" sz="900" spc="-1" strike="noStrike">
              <a:latin typeface="Arial"/>
            </a:defRPr>
          </a:pPr>
        </a:p>
      </c:txPr>
    </c:legend>
    <c:plotVisOnly val="0"/>
    <c:dispBlanksAs val="gap"/>
  </c:chart>
  <c:spPr>
    <a:noFill/>
    <a:ln w="0">
      <a:noFill/>
    </a:ln>
  </c:spPr>
</c:chartSpace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2026-08-27T01:33:47Z</dcterms:created>
  <dc:creator>Northwind Trading Co.</dc:creator>
  <dc:description>Sample document prepared for rendering tests</dc:description>
  <dc:language>en-US</dc:language>
  <cp:lastModifiedBy/>
  <dcterms:modified xsi:type="dcterms:W3CDTF">2026-08-27T01:33:50Z</dcterms:modified>
  <cp:revision>2</cp:revision>
  <dc:subject/>
  <dc:title>Q3 FY2026 Business Review</dc:title>
</cp:coreProperties>
</file>